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rial" w:ascii="Cambria" w:hAnsi="Cambria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A5182E0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5522595" cy="1936750"/>
                <wp:effectExtent l="0" t="0" r="0" b="3175"/>
                <wp:wrapSquare wrapText="bothSides"/>
                <wp:docPr id="2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40" cy="193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28.5pt;margin-top:2.2pt;width:434.75pt;height:152.4pt" wp14:anchorId="0A5182E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Cambria" w:hAnsi="Cambria" w:cs="Arial"/>
          <w:b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cs="Arial" w:ascii="Cambria" w:hAnsi="Cambria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10. do 28. tedna nosečnosti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VELIKI PREDAVALNICI, V 16. NADSTROPJU KIRURŠKE STOLPNICE.</w:t>
      </w:r>
    </w:p>
    <w:p>
      <w:pPr>
        <w:pStyle w:val="Normal"/>
        <w:spacing w:before="0" w:after="24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keepNext w:val="true"/>
        <w:spacing w:before="0" w:after="0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557567E7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51070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56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4.6pt;width:374pt;height:58.2pt" wp14:anchorId="557567E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aption"/>
        <w:spacing w:before="0" w:after="0"/>
        <w:jc w:val="center"/>
        <w:rPr>
          <w:rFonts w:ascii="Cambria" w:hAnsi="Cambria"/>
          <w:b/>
          <w:b/>
          <w:szCs w:val="28"/>
        </w:rPr>
      </w:pPr>
      <w:r>
        <w:rPr/>
        <w:t xml:space="preserve">                                                                          </w:t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Torek, 4. november 2025 ob 15.30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Karolina Računica, mag. zdr. ved., dipl. fiziot. 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Telesna dejavnost v nosečnosti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Vaje za krepitev mišic medeničnega dna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Sreda, 5. november 2025 ob 15.30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Arijana Steblovnik, univ. dipl. psih., spec. klin. psih.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Duševno zdravje v nosečnosti in po porodu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Psihološka priprava na porod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19. november 2025 ob 15.30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Nuša Žist,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Fiziološke spremembe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Pridobivanje telesne teže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Prehrana nosečnice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Lajšanje nosečniških tegob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24. november 2025 ob 16</w:t>
      </w:r>
      <w:bookmarkStart w:id="1" w:name="_GoBack"/>
      <w:bookmarkEnd w:id="1"/>
      <w:r>
        <w:rPr>
          <w:rFonts w:cs="Arial"/>
          <w:b/>
          <w:bCs/>
          <w:sz w:val="36"/>
          <w:szCs w:val="36"/>
        </w:rPr>
        <w:t xml:space="preserve">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Valentina Trpkovska, dr. med., spec. gin. in por.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Preiskave v nosečnosti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Razvoj zarodka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Vpliv škodljivih snovi na zdravje nosečnice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 xml:space="preserve">Jemanje zdravil v nosečnosti </w:t>
      </w:r>
    </w:p>
    <w:p>
      <w:pPr>
        <w:pStyle w:val="Normal"/>
        <w:ind w:right="-424" w:hanging="0"/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/>
      </w:pPr>
      <w:r>
        <w:rPr/>
      </w:r>
    </w:p>
    <w:sectPr>
      <w:type w:val="nextPage"/>
      <w:pgSz w:w="11906" w:h="16838"/>
      <w:pgMar w:left="1134" w:right="991" w:header="0" w:top="1135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6b2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cs="Wingdings"/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cs="Wingdings"/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ascii="Cambria" w:hAnsi="Cambria" w:cs="Wingdings"/>
      <w:b/>
      <w:sz w:val="36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character" w:styleId="ListLabel59">
    <w:name w:val="ListLabel 59"/>
    <w:qFormat/>
    <w:rPr>
      <w:rFonts w:ascii="Cambria" w:hAnsi="Cambria" w:cs="Wingdings"/>
      <w:b/>
      <w:sz w:val="36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  <w:b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  <w:b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  <w:b/>
    </w:rPr>
  </w:style>
  <w:style w:type="character" w:styleId="ListLabel68">
    <w:name w:val="ListLabel 68"/>
    <w:qFormat/>
    <w:rPr>
      <w:rFonts w:ascii="Cambria" w:hAnsi="Cambria" w:cs="Wingdings"/>
      <w:b/>
      <w:sz w:val="36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  <w:b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  <w:b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52ECFC-98AD-48CF-8506-BE7C5FE4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LibreOffice/6.0.7.3$Windows_X86_64 LibreOffice_project/dc89aa7a9eabfd848af146d5086077aeed2ae4a5</Application>
  <Pages>2</Pages>
  <Words>167</Words>
  <Characters>966</Characters>
  <CharactersWithSpaces>1174</CharactersWithSpaces>
  <Paragraphs>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2024-04-26T06:25:00Z</dcterms:created>
  <dc:creator>Rosemarie Franc</dc:creator>
  <dc:description/>
  <dc:language>sl-SI</dc:language>
  <cp:lastModifiedBy/>
  <cp:lastPrinted>2024-03-29T14:25:00Z</cp:lastPrinted>
  <dcterms:modified xsi:type="dcterms:W3CDTF">2025-10-30T02:39:13Z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